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50C75" w:rsidRPr="00320EAE" w:rsidRDefault="00955B2C" w:rsidP="00320EAE">
      <w:pPr>
        <w:spacing w:line="240" w:lineRule="auto"/>
        <w:ind w:right="-1"/>
        <w:jc w:val="both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noProof/>
          <w:sz w:val="21"/>
          <w:szCs w:val="21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89.25pt">
            <v:imagedata r:id="rId4" o:title="fig 1"/>
          </v:shape>
        </w:pict>
      </w:r>
    </w:p>
    <w:p w:rsidR="008253EC" w:rsidRDefault="005D5B3C" w:rsidP="00314CF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1"/>
          <w:szCs w:val="21"/>
          <w:lang w:val="en-US"/>
        </w:rPr>
      </w:pPr>
      <w:r w:rsidRPr="00CE6D92">
        <w:rPr>
          <w:rFonts w:ascii="Times New Roman" w:eastAsia="Palatino Linotype" w:hAnsi="Times New Roman" w:cs="Times New Roman"/>
          <w:b/>
          <w:sz w:val="21"/>
          <w:szCs w:val="21"/>
          <w:lang w:val="en-US" w:eastAsia="ru-RU"/>
        </w:rPr>
        <w:t>Supplementary</w:t>
      </w:r>
      <w:r w:rsidR="00CE6D92" w:rsidRPr="00CE6D92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 Fig. 1.</w:t>
      </w:r>
      <w:r w:rsidR="008253EC" w:rsidRPr="00CE6D92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 </w:t>
      </w:r>
      <w:r w:rsidR="00320EAE" w:rsidRPr="00CE6D92">
        <w:rPr>
          <w:rFonts w:ascii="Times New Roman" w:eastAsia="Times New Roman" w:hAnsi="Times New Roman" w:cs="Times New Roman"/>
          <w:b/>
          <w:color w:val="0E101A"/>
          <w:sz w:val="21"/>
          <w:szCs w:val="21"/>
          <w:lang w:val="en-US"/>
        </w:rPr>
        <w:t>Flow cytometric analysis of retroviral transduction in anti-CD3 primed PBMCs.</w:t>
      </w:r>
      <w:r w:rsidR="008253EC" w:rsidRPr="00320EAE">
        <w:rPr>
          <w:rFonts w:ascii="Times New Roman" w:eastAsia="Times New Roman" w:hAnsi="Times New Roman" w:cs="Times New Roman"/>
          <w:color w:val="0E101A"/>
          <w:sz w:val="21"/>
          <w:szCs w:val="21"/>
          <w:lang w:val="en-US"/>
        </w:rPr>
        <w:t xml:space="preserve"> </w:t>
      </w:r>
      <w:r w:rsidR="008253EC" w:rsidRPr="00320EAE">
        <w:rPr>
          <w:rFonts w:ascii="Times New Roman" w:eastAsia="Times New Roman" w:hAnsi="Times New Roman" w:cs="Times New Roman"/>
          <w:sz w:val="21"/>
          <w:szCs w:val="21"/>
          <w:lang w:val="en-US"/>
        </w:rPr>
        <w:t>Lymphocytes (</w:t>
      </w:r>
      <w:r w:rsidR="008253EC" w:rsidRPr="00B1446C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>A</w:t>
      </w:r>
      <w:r w:rsidR="008253EC" w:rsidRPr="00320EAE">
        <w:rPr>
          <w:rFonts w:ascii="Times New Roman" w:eastAsia="Times New Roman" w:hAnsi="Times New Roman" w:cs="Times New Roman"/>
          <w:sz w:val="21"/>
          <w:szCs w:val="21"/>
          <w:lang w:val="en-US"/>
        </w:rPr>
        <w:t>) were gated from the debris, singlets cells (</w:t>
      </w:r>
      <w:r w:rsidR="008253EC" w:rsidRPr="00B1446C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>B</w:t>
      </w:r>
      <w:r w:rsidR="008253EC" w:rsidRPr="00320EAE">
        <w:rPr>
          <w:rFonts w:ascii="Times New Roman" w:eastAsia="Times New Roman" w:hAnsi="Times New Roman" w:cs="Times New Roman"/>
          <w:sz w:val="21"/>
          <w:szCs w:val="21"/>
          <w:lang w:val="en-US"/>
        </w:rPr>
        <w:t>) from the lymphocytes, live cells (</w:t>
      </w:r>
      <w:r w:rsidR="008253EC" w:rsidRPr="00B1446C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>C</w:t>
      </w:r>
      <w:r w:rsidR="008253EC" w:rsidRPr="00320EAE">
        <w:rPr>
          <w:rFonts w:ascii="Times New Roman" w:eastAsia="Times New Roman" w:hAnsi="Times New Roman" w:cs="Times New Roman"/>
          <w:sz w:val="21"/>
          <w:szCs w:val="21"/>
          <w:lang w:val="en-US"/>
        </w:rPr>
        <w:t>) from the singlets cells, CD3</w:t>
      </w:r>
      <w:r w:rsidR="008253EC" w:rsidRPr="00320EAE">
        <w:rPr>
          <w:rFonts w:ascii="Times New Roman" w:eastAsia="Times New Roman" w:hAnsi="Times New Roman" w:cs="Times New Roman"/>
          <w:sz w:val="21"/>
          <w:szCs w:val="21"/>
          <w:vertAlign w:val="superscript"/>
          <w:lang w:val="en-US"/>
        </w:rPr>
        <w:t>+</w:t>
      </w:r>
      <w:r w:rsidR="008253EC" w:rsidRPr="00320EAE">
        <w:rPr>
          <w:rFonts w:ascii="Times New Roman" w:eastAsia="Times New Roman" w:hAnsi="Times New Roman" w:cs="Times New Roman"/>
          <w:sz w:val="21"/>
          <w:szCs w:val="21"/>
          <w:lang w:val="en-US"/>
        </w:rPr>
        <w:t xml:space="preserve"> cells (</w:t>
      </w:r>
      <w:r w:rsidR="008253EC" w:rsidRPr="00B1446C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>D</w:t>
      </w:r>
      <w:r w:rsidR="008253EC" w:rsidRPr="00320EAE">
        <w:rPr>
          <w:rFonts w:ascii="Times New Roman" w:eastAsia="Times New Roman" w:hAnsi="Times New Roman" w:cs="Times New Roman"/>
          <w:sz w:val="21"/>
          <w:szCs w:val="21"/>
          <w:lang w:val="en-US"/>
        </w:rPr>
        <w:t>) from the live cells, and transduced cells (</w:t>
      </w:r>
      <w:r w:rsidR="008253EC" w:rsidRPr="00B1446C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>E</w:t>
      </w:r>
      <w:r w:rsidR="008253EC" w:rsidRPr="00320EAE">
        <w:rPr>
          <w:rFonts w:ascii="Times New Roman" w:eastAsia="Times New Roman" w:hAnsi="Times New Roman" w:cs="Times New Roman"/>
          <w:sz w:val="21"/>
          <w:szCs w:val="21"/>
          <w:lang w:val="en-US"/>
        </w:rPr>
        <w:t>) from the CD3</w:t>
      </w:r>
      <w:r w:rsidR="008253EC" w:rsidRPr="00320EAE">
        <w:rPr>
          <w:rFonts w:ascii="Times New Roman" w:eastAsia="Times New Roman" w:hAnsi="Times New Roman" w:cs="Times New Roman"/>
          <w:sz w:val="21"/>
          <w:szCs w:val="21"/>
          <w:vertAlign w:val="superscript"/>
          <w:lang w:val="en-US"/>
        </w:rPr>
        <w:t>+</w:t>
      </w:r>
      <w:r w:rsidR="008253EC" w:rsidRPr="00320EAE">
        <w:rPr>
          <w:rFonts w:ascii="Times New Roman" w:eastAsia="Times New Roman" w:hAnsi="Times New Roman" w:cs="Times New Roman"/>
          <w:sz w:val="21"/>
          <w:szCs w:val="21"/>
          <w:lang w:val="en-US"/>
        </w:rPr>
        <w:t xml:space="preserve"> cells.</w:t>
      </w:r>
    </w:p>
    <w:p w:rsidR="00955B2C" w:rsidRDefault="00955B2C" w:rsidP="00314CF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1"/>
          <w:szCs w:val="21"/>
        </w:rPr>
      </w:pPr>
    </w:p>
    <w:p w:rsidR="00955B2C" w:rsidRPr="00F76440" w:rsidRDefault="00955B2C" w:rsidP="00314CF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1"/>
          <w:szCs w:val="21"/>
        </w:rPr>
      </w:pPr>
    </w:p>
    <w:p w:rsidR="00320EAE" w:rsidRDefault="00955B2C" w:rsidP="00635E37">
      <w:pPr>
        <w:spacing w:line="240" w:lineRule="auto"/>
        <w:ind w:right="-1"/>
        <w:jc w:val="center"/>
        <w:rPr>
          <w:rFonts w:ascii="Times New Roman" w:eastAsia="Times New Roman" w:hAnsi="Times New Roman" w:cs="Times New Roman"/>
          <w:sz w:val="21"/>
          <w:szCs w:val="21"/>
          <w:lang w:val="en-US"/>
        </w:rPr>
      </w:pPr>
      <w:r>
        <w:rPr>
          <w:rFonts w:ascii="Times New Roman" w:eastAsia="Times New Roman" w:hAnsi="Times New Roman" w:cs="Times New Roman"/>
          <w:sz w:val="21"/>
          <w:szCs w:val="21"/>
          <w:lang w:val="en-US"/>
        </w:rPr>
        <w:pict>
          <v:shape id="_x0000_i1026" type="#_x0000_t75" style="width:467.25pt;height:280.5pt">
            <v:imagedata r:id="rId5" o:title="supplementary fig 2"/>
          </v:shape>
        </w:pict>
      </w:r>
    </w:p>
    <w:p w:rsidR="00635E37" w:rsidRDefault="00635E37" w:rsidP="004317FF">
      <w:pPr>
        <w:spacing w:line="240" w:lineRule="auto"/>
        <w:ind w:right="-1"/>
        <w:jc w:val="both"/>
        <w:rPr>
          <w:rFonts w:ascii="Times New Roman" w:hAnsi="Times New Roman"/>
          <w:sz w:val="21"/>
          <w:szCs w:val="21"/>
          <w:lang w:val="en-US"/>
        </w:rPr>
      </w:pPr>
      <w:r w:rsidRPr="00CE6D92">
        <w:rPr>
          <w:rFonts w:ascii="Times New Roman" w:eastAsia="Palatino Linotype" w:hAnsi="Times New Roman" w:cs="Times New Roman"/>
          <w:b/>
          <w:sz w:val="21"/>
          <w:szCs w:val="21"/>
          <w:lang w:val="en-US" w:eastAsia="ru-RU"/>
        </w:rPr>
        <w:t>Supplementary</w:t>
      </w:r>
      <w:r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 Fig. 2</w:t>
      </w:r>
      <w:r w:rsidRPr="00CE6D92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. </w:t>
      </w:r>
      <w:r w:rsidR="001B01BF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>HSNE-based analysis of t</w:t>
      </w:r>
      <w:r w:rsidR="004317FF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>he CD8</w:t>
      </w:r>
      <w:r w:rsidR="004317FF" w:rsidRPr="004317FF">
        <w:rPr>
          <w:rFonts w:ascii="Times New Roman" w:eastAsia="Times New Roman" w:hAnsi="Times New Roman" w:cs="Times New Roman"/>
          <w:b/>
          <w:sz w:val="21"/>
          <w:szCs w:val="21"/>
          <w:vertAlign w:val="superscript"/>
          <w:lang w:val="en-US"/>
        </w:rPr>
        <w:t>+</w:t>
      </w:r>
      <w:r w:rsidR="004317FF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 </w:t>
      </w:r>
      <w:r w:rsidR="00F76440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GD2.CAR T cell </w:t>
      </w:r>
      <w:r w:rsidR="001B01BF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>memory subpopulations.</w:t>
      </w:r>
      <w:r w:rsidR="001B01BF">
        <w:rPr>
          <w:rFonts w:ascii="Times New Roman" w:eastAsia="Times New Roman" w:hAnsi="Times New Roman" w:cs="Times New Roman"/>
          <w:sz w:val="21"/>
          <w:szCs w:val="21"/>
          <w:lang w:val="en-US"/>
        </w:rPr>
        <w:t xml:space="preserve"> </w:t>
      </w:r>
      <w:r w:rsidR="001B01BF">
        <w:rPr>
          <w:rFonts w:ascii="Times New Roman" w:hAnsi="Times New Roman"/>
          <w:sz w:val="21"/>
          <w:szCs w:val="21"/>
          <w:lang w:val="en-US"/>
        </w:rPr>
        <w:t>Box plots</w:t>
      </w:r>
      <w:r w:rsidR="004317FF" w:rsidRPr="004317FF">
        <w:rPr>
          <w:rFonts w:ascii="Times New Roman" w:hAnsi="Times New Roman"/>
          <w:sz w:val="21"/>
          <w:szCs w:val="21"/>
          <w:lang w:val="en-US"/>
        </w:rPr>
        <w:t xml:space="preserve"> show the percentage composition of each cluster</w:t>
      </w:r>
      <w:r w:rsidR="001B01BF">
        <w:rPr>
          <w:rFonts w:ascii="Times New Roman" w:hAnsi="Times New Roman"/>
          <w:sz w:val="21"/>
          <w:szCs w:val="21"/>
          <w:lang w:val="en-US"/>
        </w:rPr>
        <w:t>, identified by CD62L and CD45RA expression</w:t>
      </w:r>
      <w:r w:rsidR="004317FF" w:rsidRPr="004317FF">
        <w:rPr>
          <w:rFonts w:ascii="Times New Roman" w:hAnsi="Times New Roman"/>
          <w:sz w:val="21"/>
          <w:szCs w:val="21"/>
          <w:lang w:val="en-US"/>
        </w:rPr>
        <w:t xml:space="preserve">: </w:t>
      </w:r>
      <w:proofErr w:type="spellStart"/>
      <w:r w:rsidR="004317FF" w:rsidRPr="004317FF">
        <w:rPr>
          <w:rFonts w:ascii="Times New Roman" w:hAnsi="Times New Roman"/>
          <w:sz w:val="21"/>
          <w:szCs w:val="21"/>
          <w:lang w:val="en-US"/>
        </w:rPr>
        <w:t>Temra</w:t>
      </w:r>
      <w:proofErr w:type="spellEnd"/>
      <w:r w:rsidR="004317FF" w:rsidRPr="004317FF">
        <w:rPr>
          <w:rFonts w:ascii="Times New Roman" w:hAnsi="Times New Roman"/>
          <w:sz w:val="21"/>
          <w:szCs w:val="21"/>
          <w:lang w:val="en-US"/>
        </w:rPr>
        <w:t xml:space="preserve"> (green), </w:t>
      </w:r>
      <w:proofErr w:type="spellStart"/>
      <w:r w:rsidR="004317FF" w:rsidRPr="004317FF">
        <w:rPr>
          <w:rFonts w:ascii="Times New Roman" w:hAnsi="Times New Roman"/>
          <w:sz w:val="21"/>
          <w:szCs w:val="21"/>
          <w:lang w:val="en-US"/>
        </w:rPr>
        <w:t>Tcm</w:t>
      </w:r>
      <w:proofErr w:type="spellEnd"/>
      <w:r w:rsidR="004317FF" w:rsidRPr="004317FF">
        <w:rPr>
          <w:rFonts w:ascii="Times New Roman" w:hAnsi="Times New Roman"/>
          <w:sz w:val="21"/>
          <w:szCs w:val="21"/>
          <w:lang w:val="en-US"/>
        </w:rPr>
        <w:t xml:space="preserve"> (violet), and Tn/</w:t>
      </w:r>
      <w:proofErr w:type="spellStart"/>
      <w:r w:rsidR="004317FF" w:rsidRPr="004317FF">
        <w:rPr>
          <w:rFonts w:ascii="Times New Roman" w:hAnsi="Times New Roman"/>
          <w:sz w:val="21"/>
          <w:szCs w:val="21"/>
          <w:lang w:val="en-US"/>
        </w:rPr>
        <w:t>scm</w:t>
      </w:r>
      <w:proofErr w:type="spellEnd"/>
      <w:r w:rsidR="004317FF" w:rsidRPr="004317FF">
        <w:rPr>
          <w:rFonts w:ascii="Times New Roman" w:hAnsi="Times New Roman"/>
          <w:sz w:val="21"/>
          <w:szCs w:val="21"/>
          <w:lang w:val="en-US"/>
        </w:rPr>
        <w:t xml:space="preserve"> (red).</w:t>
      </w:r>
    </w:p>
    <w:p w:rsidR="00955B2C" w:rsidRDefault="00955B2C" w:rsidP="004317FF">
      <w:pPr>
        <w:spacing w:line="240" w:lineRule="auto"/>
        <w:ind w:right="-1"/>
        <w:jc w:val="both"/>
        <w:rPr>
          <w:rFonts w:ascii="Times New Roman" w:hAnsi="Times New Roman"/>
          <w:sz w:val="21"/>
          <w:szCs w:val="21"/>
          <w:lang w:val="en-US"/>
        </w:rPr>
      </w:pPr>
    </w:p>
    <w:p w:rsidR="00314CF1" w:rsidRDefault="00955B2C" w:rsidP="004317FF">
      <w:pPr>
        <w:spacing w:line="240" w:lineRule="auto"/>
        <w:ind w:right="-1"/>
        <w:jc w:val="both"/>
        <w:rPr>
          <w:rFonts w:ascii="Times New Roman" w:eastAsia="Times New Roman" w:hAnsi="Times New Roman" w:cs="Times New Roman"/>
          <w:sz w:val="21"/>
          <w:szCs w:val="21"/>
          <w:lang w:val="en-US"/>
        </w:rPr>
      </w:pPr>
      <w:r>
        <w:rPr>
          <w:rFonts w:ascii="Times New Roman" w:eastAsia="Times New Roman" w:hAnsi="Times New Roman" w:cs="Times New Roman"/>
          <w:sz w:val="21"/>
          <w:szCs w:val="21"/>
          <w:lang w:val="en-US"/>
        </w:rPr>
        <w:lastRenderedPageBreak/>
        <w:pict>
          <v:shape id="_x0000_i1027" type="#_x0000_t75" style="width:467.25pt;height:232.5pt">
            <v:imagedata r:id="rId6" o:title="supplementary fig 3"/>
          </v:shape>
        </w:pict>
      </w:r>
    </w:p>
    <w:p w:rsidR="00557A9A" w:rsidRDefault="00557A9A" w:rsidP="004317FF">
      <w:pPr>
        <w:spacing w:line="240" w:lineRule="auto"/>
        <w:ind w:right="-1"/>
        <w:jc w:val="both"/>
        <w:rPr>
          <w:rFonts w:ascii="Times New Roman" w:hAnsi="Times New Roman"/>
          <w:sz w:val="21"/>
          <w:szCs w:val="21"/>
          <w:lang w:val="en-US"/>
        </w:rPr>
      </w:pPr>
      <w:r w:rsidRPr="00140D67">
        <w:rPr>
          <w:rFonts w:ascii="Times New Roman" w:eastAsia="Palatino Linotype" w:hAnsi="Times New Roman" w:cs="Times New Roman"/>
          <w:b/>
          <w:sz w:val="21"/>
          <w:szCs w:val="21"/>
          <w:lang w:val="en-US" w:eastAsia="ru-RU"/>
        </w:rPr>
        <w:t>Supplementary</w:t>
      </w:r>
      <w:r w:rsidRPr="00140D67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 Fig. 3.</w:t>
      </w:r>
      <w:r w:rsidR="006502CE" w:rsidRPr="00140D67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 HSNE-based analysis of the GD2.CAR T cell</w:t>
      </w:r>
      <w:r w:rsidR="00140D67" w:rsidRPr="00140D67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s </w:t>
      </w:r>
      <w:r w:rsidR="00140D67" w:rsidRPr="00140D67">
        <w:rPr>
          <w:rFonts w:ascii="Times New Roman" w:hAnsi="Times New Roman"/>
          <w:b/>
          <w:sz w:val="21"/>
          <w:szCs w:val="21"/>
          <w:lang w:val="en-US"/>
        </w:rPr>
        <w:t>activation and cytotoxicity.</w:t>
      </w:r>
      <w:r w:rsidR="00140D67" w:rsidRPr="00140D67">
        <w:rPr>
          <w:rFonts w:ascii="Times New Roman" w:hAnsi="Times New Roman"/>
          <w:sz w:val="21"/>
          <w:szCs w:val="21"/>
          <w:lang w:val="en-US"/>
        </w:rPr>
        <w:t xml:space="preserve"> </w:t>
      </w:r>
      <w:r w:rsidR="00140D67" w:rsidRPr="00557A9A">
        <w:rPr>
          <w:rFonts w:ascii="Times New Roman" w:hAnsi="Times New Roman"/>
          <w:sz w:val="21"/>
          <w:szCs w:val="21"/>
          <w:lang w:val="en-US"/>
        </w:rPr>
        <w:t xml:space="preserve">Box plots show the </w:t>
      </w:r>
      <w:r w:rsidR="00140D67" w:rsidRPr="00140D67">
        <w:rPr>
          <w:rFonts w:ascii="Times New Roman" w:hAnsi="Times New Roman"/>
          <w:sz w:val="21"/>
          <w:szCs w:val="21"/>
          <w:lang w:val="en-US"/>
        </w:rPr>
        <w:t>percentage composition of CD8</w:t>
      </w:r>
      <w:r w:rsidR="00140D67" w:rsidRPr="0075378D">
        <w:rPr>
          <w:rFonts w:ascii="Times New Roman" w:hAnsi="Times New Roman"/>
          <w:sz w:val="21"/>
          <w:szCs w:val="21"/>
          <w:vertAlign w:val="superscript"/>
          <w:lang w:val="en-US"/>
        </w:rPr>
        <w:t>+</w:t>
      </w:r>
      <w:r w:rsidR="00140D67" w:rsidRPr="00140D67">
        <w:rPr>
          <w:rFonts w:ascii="Times New Roman" w:hAnsi="Times New Roman"/>
          <w:sz w:val="21"/>
          <w:szCs w:val="21"/>
          <w:lang w:val="en-US"/>
        </w:rPr>
        <w:t xml:space="preserve"> GD2.CAR T cells within each cluster expressing activation and cytotoxicity markers </w:t>
      </w:r>
      <w:r w:rsidR="00AA0F31">
        <w:rPr>
          <w:rFonts w:ascii="Times New Roman" w:hAnsi="Times New Roman"/>
          <w:sz w:val="21"/>
          <w:szCs w:val="21"/>
          <w:lang w:val="en-US"/>
        </w:rPr>
        <w:t>(CD69, 4-1BB</w:t>
      </w:r>
      <w:r w:rsidR="00140D67" w:rsidRPr="00140D67">
        <w:rPr>
          <w:rFonts w:ascii="Times New Roman" w:hAnsi="Times New Roman"/>
          <w:sz w:val="21"/>
          <w:szCs w:val="21"/>
          <w:lang w:val="en-US"/>
        </w:rPr>
        <w:t>, CD107a, FasL, and CD40L) after 4–6 hours</w:t>
      </w:r>
      <w:r w:rsidR="00140D67" w:rsidRPr="00140D67">
        <w:rPr>
          <w:rFonts w:ascii="Times New Roman" w:hAnsi="Times New Roman"/>
          <w:color w:val="0E101A"/>
          <w:sz w:val="21"/>
          <w:szCs w:val="21"/>
          <w:lang w:val="en-US"/>
        </w:rPr>
        <w:t xml:space="preserve"> </w:t>
      </w:r>
      <w:r w:rsidR="00140D67" w:rsidRPr="00140D67">
        <w:rPr>
          <w:rFonts w:ascii="Times New Roman" w:hAnsi="Times New Roman"/>
          <w:sz w:val="21"/>
          <w:szCs w:val="21"/>
          <w:lang w:val="en-US"/>
        </w:rPr>
        <w:t>co-culture with the SK-MEL-37 cells.</w:t>
      </w:r>
    </w:p>
    <w:p w:rsidR="00955B2C" w:rsidRDefault="00955B2C" w:rsidP="004317FF">
      <w:pPr>
        <w:spacing w:line="240" w:lineRule="auto"/>
        <w:ind w:right="-1"/>
        <w:jc w:val="both"/>
        <w:rPr>
          <w:rFonts w:ascii="Times New Roman" w:eastAsia="Times New Roman" w:hAnsi="Times New Roman" w:cs="Times New Roman"/>
          <w:sz w:val="21"/>
          <w:szCs w:val="21"/>
          <w:lang w:val="en-US"/>
        </w:rPr>
      </w:pPr>
    </w:p>
    <w:p w:rsidR="00955B2C" w:rsidRPr="00557A9A" w:rsidRDefault="00955B2C" w:rsidP="004317FF">
      <w:pPr>
        <w:spacing w:line="240" w:lineRule="auto"/>
        <w:ind w:right="-1"/>
        <w:jc w:val="both"/>
        <w:rPr>
          <w:rFonts w:ascii="Times New Roman" w:eastAsia="Times New Roman" w:hAnsi="Times New Roman" w:cs="Times New Roman"/>
          <w:sz w:val="21"/>
          <w:szCs w:val="21"/>
          <w:lang w:val="en-US"/>
        </w:rPr>
      </w:pPr>
      <w:r w:rsidRPr="0087748D">
        <w:rPr>
          <w:rFonts w:ascii="Times New Roman" w:eastAsia="Palatino Linotype" w:hAnsi="Times New Roman" w:cs="Times New Roman"/>
          <w:b/>
          <w:sz w:val="21"/>
          <w:szCs w:val="21"/>
          <w:lang w:val="en-US" w:eastAsia="ru-RU"/>
        </w:rPr>
        <w:t>Supplementary</w:t>
      </w:r>
      <w:r w:rsidRPr="0087748D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 Table 1. </w:t>
      </w:r>
      <w:r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>Significantly u</w:t>
      </w:r>
      <w:r w:rsidRPr="0087748D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>p- and down-regulated genes in the GD2.CAR T cells after 2 hours of co-culture with SK-MEL-37 cells.</w:t>
      </w: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1921"/>
        <w:gridCol w:w="7430"/>
      </w:tblGrid>
      <w:tr w:rsidR="008253EC" w:rsidRPr="00CE6D92" w:rsidTr="00320EAE">
        <w:trPr>
          <w:trHeight w:val="1546"/>
        </w:trPr>
        <w:tc>
          <w:tcPr>
            <w:tcW w:w="1921" w:type="dxa"/>
            <w:vAlign w:val="center"/>
          </w:tcPr>
          <w:p w:rsidR="008253EC" w:rsidRPr="00320EAE" w:rsidRDefault="008253EC" w:rsidP="00453752">
            <w:pPr>
              <w:ind w:right="-1"/>
              <w:contextualSpacing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320EAE">
              <w:rPr>
                <w:rFonts w:ascii="Times New Roman" w:hAnsi="Times New Roman" w:cs="Times New Roman"/>
                <w:sz w:val="21"/>
                <w:szCs w:val="21"/>
              </w:rPr>
              <w:t>Up-regulated genes</w:t>
            </w:r>
          </w:p>
        </w:tc>
        <w:tc>
          <w:tcPr>
            <w:tcW w:w="7430" w:type="dxa"/>
            <w:vAlign w:val="center"/>
          </w:tcPr>
          <w:p w:rsidR="008253EC" w:rsidRPr="00320EAE" w:rsidRDefault="008253EC" w:rsidP="00320EAE">
            <w:pPr>
              <w:ind w:right="-1"/>
              <w:contextualSpacing/>
              <w:rPr>
                <w:rFonts w:ascii="Times New Roman" w:hAnsi="Times New Roman" w:cs="Times New Roman"/>
                <w:sz w:val="21"/>
                <w:szCs w:val="21"/>
              </w:rPr>
            </w:pPr>
            <w:r w:rsidRPr="00320EAE">
              <w:rPr>
                <w:rFonts w:ascii="Times New Roman" w:hAnsi="Times New Roman" w:cs="Times New Roman"/>
                <w:i/>
                <w:sz w:val="21"/>
                <w:szCs w:val="21"/>
              </w:rPr>
              <w:t>AHR, APP, BCL6, BST1, C1QBP, C1R, C1S, C3, CCL2, CCL20, CCL3, CCL4, CD22, CD276, CD59, CD83, CD9, CEBPB, CFI, CIITA, CSF1, CSF2, CTNNB1, CXCL1, CXCL10, CXCL11, CXCL2, EDNRB, EGR2, FCGR2A, FN1, GBP1, HLA-DMA, HLA-DMB, HLA-DPA1, HLA-DPB1, HLA-DQA1, HLA-DRA, HLA-DRB1, HLA-DRB3, ICAM1, IFNG, IL13, IL13RA1, IL1A, IL1B, IL1RAP, IL6, IL6ST, IL8, IRAK2, IRF1, LIF, LTBR, NCAM1, NT5E, PLAUR, PSMB5, PSMB7, PTK2, SELE, SMAD5, SPP1, TCF4, TFRC, THY1, TLR2, TNFRSF9, TRAF1</w:t>
            </w:r>
          </w:p>
        </w:tc>
      </w:tr>
      <w:tr w:rsidR="008253EC" w:rsidRPr="00CE6D92" w:rsidTr="00DE78AE">
        <w:tc>
          <w:tcPr>
            <w:tcW w:w="1921" w:type="dxa"/>
            <w:vAlign w:val="center"/>
          </w:tcPr>
          <w:p w:rsidR="008253EC" w:rsidRPr="00320EAE" w:rsidRDefault="008253EC" w:rsidP="00453752">
            <w:pPr>
              <w:ind w:right="-1"/>
              <w:contextualSpacing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320EAE">
              <w:rPr>
                <w:rFonts w:ascii="Times New Roman" w:hAnsi="Times New Roman" w:cs="Times New Roman"/>
                <w:sz w:val="21"/>
                <w:szCs w:val="21"/>
              </w:rPr>
              <w:t>Down-regulated genes</w:t>
            </w:r>
          </w:p>
        </w:tc>
        <w:tc>
          <w:tcPr>
            <w:tcW w:w="7430" w:type="dxa"/>
            <w:vAlign w:val="center"/>
          </w:tcPr>
          <w:p w:rsidR="008253EC" w:rsidRPr="00320EAE" w:rsidRDefault="008253EC" w:rsidP="00320EAE">
            <w:pPr>
              <w:ind w:right="-1"/>
              <w:contextualSpacing/>
              <w:rPr>
                <w:rFonts w:ascii="Times New Roman" w:hAnsi="Times New Roman" w:cs="Times New Roman"/>
                <w:sz w:val="21"/>
                <w:szCs w:val="21"/>
              </w:rPr>
            </w:pPr>
            <w:r w:rsidRPr="00320EAE">
              <w:rPr>
                <w:rFonts w:ascii="Times New Roman" w:hAnsi="Times New Roman" w:cs="Times New Roman"/>
                <w:i/>
                <w:sz w:val="21"/>
                <w:szCs w:val="21"/>
              </w:rPr>
              <w:t>ADA, ARHGDIB, BAX, BCL2, CASP1, CASP8, CCND3, CCR1, CCR2, CCR5, CCR7, CCRL2, CD244, CD247, CD27, CD28, CD45RA, CD45RB, CD48, CD53, CD6, CD79B, CD96, CISH, CX3CR1, CXCR3, CXCR4, CXCR6, DPP4, FCGRT, GBP5, GZMA, GZMK, HAVCR2, HLA-B, ICAM2, ICAM3, IFITM1, IKBKE, IKZF1, IKZF3, IL10RA, IL12RB1, IL21R, IL23A, IL2RG, IL4R, IL7R, IRAK4, ITGA4, ITGAL, ITGAM, ITGAX, ITGB2, JAK1, JAK2, JAK3, KLRB1, LAIR1, LCK, LEF1, LTB4R, MAF, MAP4K1, MAP4K2, MBP, MUC1, MYD88, NCF4, NFATC3, PDGFRB, PRF1, PSMB10, PYCARD, S1PR1, SELPLG, SIGIRR, SLAMF7, STAT4, STAT5B, STAT6, TAGAP, TAPBP, TCF7, TGFB1, TGFBR1, TLR1, TMEM173, TNFRSF14, TNFRSF1B, TNFSF12, TNFSF8, XBP1, ZAP70, ZBTB16</w:t>
            </w:r>
          </w:p>
        </w:tc>
      </w:tr>
    </w:tbl>
    <w:p w:rsidR="00955B2C" w:rsidRDefault="00955B2C" w:rsidP="00320EAE">
      <w:pPr>
        <w:spacing w:before="240" w:line="240" w:lineRule="auto"/>
        <w:ind w:right="-1"/>
        <w:jc w:val="both"/>
        <w:rPr>
          <w:rFonts w:ascii="Times New Roman" w:eastAsia="Times New Roman" w:hAnsi="Times New Roman" w:cs="Times New Roman"/>
          <w:b/>
          <w:sz w:val="21"/>
          <w:szCs w:val="21"/>
          <w:lang w:val="en-US"/>
        </w:rPr>
      </w:pPr>
    </w:p>
    <w:p w:rsidR="00955B2C" w:rsidRDefault="00955B2C">
      <w:pPr>
        <w:rPr>
          <w:rFonts w:ascii="Times New Roman" w:eastAsia="Times New Roman" w:hAnsi="Times New Roman" w:cs="Times New Roman"/>
          <w:b/>
          <w:sz w:val="21"/>
          <w:szCs w:val="21"/>
          <w:lang w:val="en-US"/>
        </w:rPr>
      </w:pPr>
      <w:r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br w:type="page"/>
      </w:r>
    </w:p>
    <w:p w:rsidR="008253EC" w:rsidRDefault="008253EC" w:rsidP="00320EAE">
      <w:pPr>
        <w:spacing w:before="240" w:line="240" w:lineRule="auto"/>
        <w:ind w:right="-1"/>
        <w:jc w:val="both"/>
        <w:rPr>
          <w:rFonts w:ascii="Times New Roman" w:eastAsia="Times New Roman" w:hAnsi="Times New Roman" w:cs="Times New Roman"/>
          <w:b/>
          <w:sz w:val="21"/>
          <w:szCs w:val="21"/>
          <w:lang w:val="en-US"/>
        </w:rPr>
      </w:pPr>
    </w:p>
    <w:p w:rsidR="00955B2C" w:rsidRPr="00955B2C" w:rsidRDefault="00955B2C" w:rsidP="00955B2C">
      <w:pPr>
        <w:pBdr>
          <w:top w:val="nil"/>
          <w:left w:val="nil"/>
          <w:bottom w:val="nil"/>
          <w:right w:val="nil"/>
          <w:between w:val="nil"/>
        </w:pBdr>
        <w:spacing w:before="240" w:after="0" w:line="240" w:lineRule="auto"/>
        <w:ind w:right="-1"/>
        <w:jc w:val="both"/>
        <w:rPr>
          <w:rFonts w:ascii="Times New Roman" w:eastAsia="Times New Roman" w:hAnsi="Times New Roman" w:cs="Times New Roman"/>
          <w:sz w:val="21"/>
          <w:szCs w:val="21"/>
          <w:lang w:val="en-US"/>
        </w:rPr>
      </w:pPr>
      <w:r w:rsidRPr="00AC011B">
        <w:rPr>
          <w:rFonts w:ascii="Times New Roman" w:eastAsia="Palatino Linotype" w:hAnsi="Times New Roman" w:cs="Times New Roman"/>
          <w:b/>
          <w:sz w:val="21"/>
          <w:szCs w:val="21"/>
          <w:lang w:val="en-US" w:eastAsia="ru-RU"/>
        </w:rPr>
        <w:t>Supplementary</w:t>
      </w:r>
      <w:r w:rsidRPr="00AC011B">
        <w:rPr>
          <w:rFonts w:ascii="Times New Roman" w:eastAsia="Times New Roman" w:hAnsi="Times New Roman" w:cs="Times New Roman"/>
          <w:b/>
          <w:sz w:val="21"/>
          <w:szCs w:val="21"/>
          <w:lang w:val="en-US"/>
        </w:rPr>
        <w:t xml:space="preserve"> Table 2. Gene Set Enrichment Analysis (GSEA) of the up-regulated genes in the GD2.CAR T cells.</w:t>
      </w:r>
      <w:r>
        <w:rPr>
          <w:rFonts w:ascii="Times New Roman" w:eastAsia="Times New Roman" w:hAnsi="Times New Roman" w:cs="Times New Roman"/>
          <w:sz w:val="21"/>
          <w:szCs w:val="21"/>
          <w:lang w:val="en-US"/>
        </w:rPr>
        <w:t xml:space="preserve"> </w:t>
      </w: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00" w:firstRow="0" w:lastRow="0" w:firstColumn="0" w:lastColumn="0" w:noHBand="1" w:noVBand="1"/>
      </w:tblPr>
      <w:tblGrid>
        <w:gridCol w:w="2121"/>
        <w:gridCol w:w="1136"/>
        <w:gridCol w:w="1137"/>
        <w:gridCol w:w="4957"/>
      </w:tblGrid>
      <w:tr w:rsidR="008253EC" w:rsidRPr="00320EAE" w:rsidTr="00094EF4">
        <w:trPr>
          <w:trHeight w:val="86"/>
        </w:trPr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/>
              </w:rPr>
              <w:t>Term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/>
              </w:rPr>
              <w:t>Overlap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/>
              </w:rPr>
              <w:t>Combined Score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/>
              </w:rPr>
              <w:t>Genes</w:t>
            </w:r>
          </w:p>
        </w:tc>
      </w:tr>
      <w:tr w:rsidR="008253EC" w:rsidRPr="00CE6D92" w:rsidTr="006000AE">
        <w:trPr>
          <w:trHeight w:val="1300"/>
        </w:trPr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Cytokine-mediated signaling pathway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38/621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3094.915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320EAE">
            <w:pPr>
              <w:widowControl w:val="0"/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  <w:t>CIITA, CSF2, CSF1, CXCL1, IL1RAP, CXCL2, ICAM1, PSMB7, PSMB5, IRAK2, CCL4, CCL3, CCL2, NCAM1, GBP1, HLA-DQA1, HLA-DPA1, IL13RA1, CCL20, TNFRSF9, IL13, FN1, LIF, TRAF1, IL1A, CXCL10, CXCL11, IL6, BCL6, IFNG, IL1B, IRF1, HLA-DPB1, HLA-DRA, LTBR, IL6ST, HLA-DRB3, HLA-DRB1</w:t>
            </w:r>
          </w:p>
        </w:tc>
      </w:tr>
      <w:tr w:rsidR="008253EC" w:rsidRPr="00CE6D92" w:rsidTr="006000AE">
        <w:trPr>
          <w:trHeight w:val="571"/>
        </w:trPr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Cellular response to interferon-gamma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17/121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2943.425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320EAE">
            <w:pPr>
              <w:widowControl w:val="0"/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  <w:t>CIITA, CCL20, ICAM1, IFNG, IRF1, CCL4, HLA-DPB1, CCL3, HLA-DRA, CCL2, NCAM1, HLA-DRB3, GBP1, HLA-DQA1, HLA-DRB1, TLR2, HLA-DPA1</w:t>
            </w:r>
          </w:p>
        </w:tc>
      </w:tr>
      <w:tr w:rsidR="008253EC" w:rsidRPr="00CE6D92" w:rsidTr="006000AE">
        <w:trPr>
          <w:trHeight w:val="710"/>
        </w:trPr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Cellular response to cytokine stimulus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25/482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1114.687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320EAE">
            <w:pPr>
              <w:widowControl w:val="0"/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  <w:t>CSF2, CSF1, CXCL1, IL1RAP, CXCL2, ICAM1, IRAK2, CCL4, CCL3, CCL2, GBP1, HLA-DPA1, IL13RA1, CCL20, IL13, FN1, LIF, IL1A, CXCL10, IL6, BCL6, IL1B, IRF1, IL6ST, TLR2</w:t>
            </w:r>
          </w:p>
        </w:tc>
      </w:tr>
      <w:tr w:rsidR="008253EC" w:rsidRPr="00CE6D92" w:rsidTr="00DE78AE"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Interferon-gamma-mediated signaling pathway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12/68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2711.983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320EAE">
            <w:pPr>
              <w:widowControl w:val="0"/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  <w:t>CIITA, IFNG, IRF1, HLA-DPB1, HLA-DRA, NCAM1, HLA-DRB3, GBP1, HLA-DQA1, HLA-DRB1, ICAM1, HLA-DPA1</w:t>
            </w:r>
          </w:p>
        </w:tc>
      </w:tr>
      <w:tr w:rsidR="008253EC" w:rsidRPr="00CE6D92" w:rsidTr="00DE78AE"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Inflammatory response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16/230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939.9529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320EAE">
            <w:pPr>
              <w:widowControl w:val="0"/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  <w:t>CIITA, CEBPB, CCL20, CXCL1, CXCL2, SELE, IL1A, CXCL10, CXCL11, IL6, IFNG, IL1B, CCL4, CCL3, CCL2, TLR2</w:t>
            </w:r>
          </w:p>
        </w:tc>
      </w:tr>
      <w:tr w:rsidR="008253EC" w:rsidRPr="00CE6D92" w:rsidTr="00DE78AE"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Regulation of T cell proliferation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10/76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1807.625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320EAE">
            <w:pPr>
              <w:widowControl w:val="0"/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  <w:t>IL6, CEBPB, HLA-DMB, TFRC, IL1B, HLA-DPB1, IL6ST, HLA-DRB1, CD276, HLA-DPA1</w:t>
            </w:r>
          </w:p>
        </w:tc>
      </w:tr>
      <w:tr w:rsidR="008253EC" w:rsidRPr="00CE6D92" w:rsidTr="00DE78AE"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Positive regulation of cytokine production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16/335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525.3742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320EAE">
            <w:pPr>
              <w:widowControl w:val="0"/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  <w:t>APP, CEBPB, CSF2, IL13, C3, IL1A, IL6, IFNG, IL1B, IRF1, HLA-DPB1, CTNNB1, IL6ST, TLR2, CD276, HLA-DPA1</w:t>
            </w:r>
          </w:p>
        </w:tc>
      </w:tr>
      <w:tr w:rsidR="008253EC" w:rsidRPr="00CE6D92" w:rsidTr="006000AE">
        <w:trPr>
          <w:trHeight w:val="453"/>
        </w:trPr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Positive regulation of T cell activation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10/75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1431.652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320EAE">
            <w:pPr>
              <w:widowControl w:val="0"/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  <w:t>IL6, HLA-DMB, TFRC, IL1B, HLA-DPB1, CCL2, THY1, IL6ST, CD276, HLA-DPA1</w:t>
            </w:r>
          </w:p>
        </w:tc>
      </w:tr>
      <w:tr w:rsidR="008253EC" w:rsidRPr="00CE6D92" w:rsidTr="00094EF4">
        <w:trPr>
          <w:trHeight w:val="547"/>
        </w:trPr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Regulation of cell population proliferation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21/764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304.2711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320EAE">
            <w:pPr>
              <w:widowControl w:val="0"/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  <w:t>APP, CSF2, CSF1, TFRC, TNFRSF9, FN1, LIF, CXCL1, PTK2, IL1A, CXCL10, BST1, CXCL11, IL6, BCL6, IFNG, IL1B, IRF1, CTNNB1, IL6ST, IL13RA1</w:t>
            </w:r>
          </w:p>
        </w:tc>
      </w:tr>
      <w:tr w:rsidR="008253EC" w:rsidRPr="00CE6D92" w:rsidTr="00094EF4">
        <w:trPr>
          <w:trHeight w:val="261"/>
        </w:trPr>
        <w:tc>
          <w:tcPr>
            <w:tcW w:w="2121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Positive regulation of lymphocyte proliferation</w:t>
            </w:r>
          </w:p>
        </w:tc>
        <w:tc>
          <w:tcPr>
            <w:tcW w:w="1136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9/75</w:t>
            </w:r>
          </w:p>
        </w:tc>
        <w:tc>
          <w:tcPr>
            <w:tcW w:w="113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883259">
            <w:pPr>
              <w:widowControl w:val="0"/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sz w:val="21"/>
                <w:szCs w:val="21"/>
                <w:lang w:val="en-US"/>
              </w:rPr>
              <w:t>1086.013</w:t>
            </w:r>
          </w:p>
        </w:tc>
        <w:tc>
          <w:tcPr>
            <w:tcW w:w="4957" w:type="dxa"/>
            <w:tcMar>
              <w:top w:w="20" w:type="dxa"/>
              <w:left w:w="20" w:type="dxa"/>
              <w:bottom w:w="100" w:type="dxa"/>
              <w:right w:w="20" w:type="dxa"/>
            </w:tcMar>
            <w:vAlign w:val="center"/>
          </w:tcPr>
          <w:p w:rsidR="008253EC" w:rsidRPr="00320EAE" w:rsidRDefault="008253EC" w:rsidP="00320EAE">
            <w:pPr>
              <w:widowControl w:val="0"/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</w:pPr>
            <w:r w:rsidRPr="00320EAE">
              <w:rPr>
                <w:rFonts w:ascii="Times New Roman" w:eastAsia="Times New Roman" w:hAnsi="Times New Roman" w:cs="Times New Roman"/>
                <w:i/>
                <w:sz w:val="21"/>
                <w:szCs w:val="21"/>
                <w:lang w:val="en-US"/>
              </w:rPr>
              <w:t>BST1, IL6, HLA-DMB, TFRC, IL1B, HLA-DPB1, IL6ST, CD276, HLA-DPA1</w:t>
            </w:r>
          </w:p>
        </w:tc>
      </w:tr>
    </w:tbl>
    <w:p w:rsidR="008253EC" w:rsidRPr="00AC011B" w:rsidRDefault="00955B2C" w:rsidP="00955B2C">
      <w:pPr>
        <w:pBdr>
          <w:top w:val="nil"/>
          <w:left w:val="nil"/>
          <w:bottom w:val="nil"/>
          <w:right w:val="nil"/>
          <w:between w:val="nil"/>
        </w:pBdr>
        <w:spacing w:before="240" w:after="0" w:line="240" w:lineRule="auto"/>
        <w:ind w:right="-1"/>
        <w:jc w:val="both"/>
        <w:rPr>
          <w:rFonts w:ascii="Times New Roman" w:eastAsia="Times New Roman" w:hAnsi="Times New Roman" w:cs="Times New Roman"/>
          <w:sz w:val="21"/>
          <w:szCs w:val="21"/>
          <w:lang w:val="en-US"/>
        </w:rPr>
      </w:pPr>
      <w:r w:rsidRPr="00AC011B">
        <w:rPr>
          <w:rFonts w:ascii="Times New Roman" w:eastAsia="Times New Roman" w:hAnsi="Times New Roman" w:cs="Times New Roman"/>
          <w:sz w:val="21"/>
          <w:szCs w:val="21"/>
          <w:lang w:val="en-US"/>
        </w:rPr>
        <w:t xml:space="preserve">Results from </w:t>
      </w:r>
      <w:r>
        <w:rPr>
          <w:rFonts w:ascii="Times New Roman" w:eastAsia="Times New Roman" w:hAnsi="Times New Roman" w:cs="Times New Roman"/>
          <w:sz w:val="21"/>
          <w:szCs w:val="21"/>
          <w:lang w:val="en-US"/>
        </w:rPr>
        <w:t>GSEA</w:t>
      </w:r>
      <w:r w:rsidRPr="00AC011B">
        <w:rPr>
          <w:rFonts w:ascii="Times New Roman" w:eastAsia="Times New Roman" w:hAnsi="Times New Roman" w:cs="Times New Roman"/>
          <w:sz w:val="21"/>
          <w:szCs w:val="21"/>
          <w:lang w:val="en-US"/>
        </w:rPr>
        <w:t xml:space="preserve"> using Gene On</w:t>
      </w:r>
      <w:r>
        <w:rPr>
          <w:rFonts w:ascii="Times New Roman" w:eastAsia="Times New Roman" w:hAnsi="Times New Roman" w:cs="Times New Roman"/>
          <w:sz w:val="21"/>
          <w:szCs w:val="21"/>
          <w:lang w:val="en-US"/>
        </w:rPr>
        <w:t>tology Biological Process terms</w:t>
      </w:r>
      <w:r w:rsidRPr="00AC011B">
        <w:rPr>
          <w:rFonts w:ascii="Times New Roman" w:eastAsia="Times New Roman" w:hAnsi="Times New Roman" w:cs="Times New Roman"/>
          <w:sz w:val="21"/>
          <w:szCs w:val="21"/>
          <w:lang w:val="en-US"/>
        </w:rPr>
        <w:t>;</w:t>
      </w:r>
      <w:r w:rsidRPr="00320EAE">
        <w:rPr>
          <w:rFonts w:ascii="Times New Roman" w:eastAsia="Times New Roman" w:hAnsi="Times New Roman" w:cs="Times New Roman"/>
          <w:sz w:val="21"/>
          <w:szCs w:val="21"/>
          <w:lang w:val="en-US"/>
        </w:rPr>
        <w:t xml:space="preserve"> </w:t>
      </w:r>
      <w:r w:rsidRPr="00320EAE">
        <w:rPr>
          <w:rFonts w:ascii="Times New Roman" w:eastAsia="Times New Roman" w:hAnsi="Times New Roman" w:cs="Times New Roman"/>
          <w:i/>
          <w:sz w:val="21"/>
          <w:szCs w:val="21"/>
          <w:lang w:val="en-US"/>
        </w:rPr>
        <w:t>q</w:t>
      </w:r>
      <w:r w:rsidRPr="00320EAE">
        <w:rPr>
          <w:rFonts w:ascii="Times New Roman" w:eastAsia="Times New Roman" w:hAnsi="Times New Roman" w:cs="Times New Roman"/>
          <w:sz w:val="21"/>
          <w:szCs w:val="21"/>
          <w:lang w:val="en-US"/>
        </w:rPr>
        <w:t>-value &lt; 0.000001.</w:t>
      </w:r>
      <w:bookmarkStart w:id="0" w:name="_GoBack"/>
      <w:bookmarkEnd w:id="0"/>
    </w:p>
    <w:sectPr w:rsidR="008253EC" w:rsidRPr="00AC01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6097"/>
    <w:rsid w:val="00050C75"/>
    <w:rsid w:val="00094EF4"/>
    <w:rsid w:val="00140D67"/>
    <w:rsid w:val="001B01BF"/>
    <w:rsid w:val="00206D54"/>
    <w:rsid w:val="00314CF1"/>
    <w:rsid w:val="00320EAE"/>
    <w:rsid w:val="003C0848"/>
    <w:rsid w:val="004317FF"/>
    <w:rsid w:val="00453752"/>
    <w:rsid w:val="00517F64"/>
    <w:rsid w:val="00557A9A"/>
    <w:rsid w:val="005D5B3C"/>
    <w:rsid w:val="006000AE"/>
    <w:rsid w:val="00635E37"/>
    <w:rsid w:val="006502CE"/>
    <w:rsid w:val="006842D7"/>
    <w:rsid w:val="0075378D"/>
    <w:rsid w:val="007A26A6"/>
    <w:rsid w:val="008253EC"/>
    <w:rsid w:val="0087748D"/>
    <w:rsid w:val="00883259"/>
    <w:rsid w:val="00955B2C"/>
    <w:rsid w:val="009743AF"/>
    <w:rsid w:val="0099249F"/>
    <w:rsid w:val="00A3492C"/>
    <w:rsid w:val="00AA0F31"/>
    <w:rsid w:val="00AC011B"/>
    <w:rsid w:val="00B12416"/>
    <w:rsid w:val="00B1446C"/>
    <w:rsid w:val="00C16097"/>
    <w:rsid w:val="00C53298"/>
    <w:rsid w:val="00CE6D92"/>
    <w:rsid w:val="00DE78AE"/>
    <w:rsid w:val="00F76440"/>
    <w:rsid w:val="00FE5E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  <w14:docId w14:val="0C4DFB6F"/>
  <w15:chartTrackingRefBased/>
  <w15:docId w15:val="{AF306CE1-775B-4E10-9EB1-E797E4752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253EC"/>
    <w:pPr>
      <w:spacing w:after="0" w:line="240" w:lineRule="auto"/>
      <w:jc w:val="both"/>
    </w:pPr>
    <w:rPr>
      <w:rFonts w:ascii="Palatino Linotype" w:eastAsia="Palatino Linotype" w:hAnsi="Palatino Linotype" w:cs="Palatino Linotype"/>
      <w:sz w:val="20"/>
      <w:szCs w:val="20"/>
      <w:lang w:val="en-US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3</Pages>
  <Words>623</Words>
  <Characters>3556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Molly</cp:lastModifiedBy>
  <cp:revision>33</cp:revision>
  <dcterms:created xsi:type="dcterms:W3CDTF">2024-09-13T08:40:00Z</dcterms:created>
  <dcterms:modified xsi:type="dcterms:W3CDTF">2025-08-15T05:35:00Z</dcterms:modified>
</cp:coreProperties>
</file>